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bookmarkStart w:id="0" w:name="_Toc9707"/>
      <w:bookmarkStart w:id="1" w:name="_Toc12789058"/>
      <w:bookmarkStart w:id="2" w:name="_Toc6890"/>
      <w:bookmarkStart w:id="3" w:name="_Toc24767"/>
      <w:bookmarkStart w:id="4" w:name="_Toc15568"/>
      <w:bookmarkStart w:id="5" w:name="_Toc79408318"/>
      <w:r>
        <w:rPr>
          <w:rFonts w:hint="eastAsia"/>
          <w:lang w:val="en-US" w:eastAsia="zh-CN"/>
        </w:rPr>
        <w:t>附件1：</w:t>
      </w:r>
    </w:p>
    <w:p>
      <w:pPr>
        <w:jc w:val="center"/>
        <w:rPr>
          <w:rFonts w:hint="eastAsia" w:ascii="方正小标宋_GBK" w:hAnsi="方正小标宋_GBK" w:eastAsia="方正小标宋_GBK" w:cs="方正小标宋_GBK"/>
          <w:b/>
          <w:bCs/>
          <w:color w:val="000000"/>
          <w:kern w:val="58"/>
          <w:sz w:val="44"/>
          <w:szCs w:val="44"/>
          <w:lang w:val="en-US" w:eastAsia="zh-CN"/>
        </w:rPr>
      </w:pPr>
    </w:p>
    <w:p>
      <w:pPr>
        <w:jc w:val="center"/>
        <w:rPr>
          <w:rFonts w:hint="eastAsia" w:ascii="方正小标宋_GBK" w:hAnsi="方正小标宋_GBK" w:eastAsia="方正小标宋_GBK" w:cs="方正小标宋_GBK"/>
          <w:b/>
          <w:bCs/>
          <w:color w:val="000000"/>
          <w:kern w:val="58"/>
          <w:sz w:val="44"/>
          <w:szCs w:val="44"/>
          <w:lang w:val="en-US" w:eastAsia="zh-CN"/>
        </w:rPr>
      </w:pPr>
      <w:r>
        <w:rPr>
          <w:rFonts w:hint="eastAsia" w:ascii="方正小标宋_GBK" w:hAnsi="方正小标宋_GBK" w:eastAsia="方正小标宋_GBK" w:cs="方正小标宋_GBK"/>
          <w:b/>
          <w:bCs/>
          <w:color w:val="000000"/>
          <w:kern w:val="58"/>
          <w:sz w:val="44"/>
          <w:szCs w:val="44"/>
          <w:lang w:val="en-US" w:eastAsia="zh-CN"/>
        </w:rPr>
        <w:t>重庆市矿业工程学校</w:t>
      </w:r>
    </w:p>
    <w:p>
      <w:pPr>
        <w:jc w:val="center"/>
        <w:rPr>
          <w:rFonts w:hint="eastAsia" w:ascii="方正小标宋_GBK" w:hAnsi="方正小标宋_GBK" w:eastAsia="方正小标宋_GBK" w:cs="方正小标宋_GBK"/>
          <w:b/>
          <w:bCs/>
          <w:color w:val="000000"/>
          <w:kern w:val="58"/>
          <w:sz w:val="44"/>
          <w:szCs w:val="44"/>
        </w:rPr>
      </w:pPr>
      <w:r>
        <w:rPr>
          <w:rFonts w:hint="eastAsia" w:ascii="方正小标宋_GBK" w:hAnsi="方正小标宋_GBK" w:eastAsia="方正小标宋_GBK" w:cs="方正小标宋_GBK"/>
          <w:b/>
          <w:bCs/>
          <w:color w:val="000000"/>
          <w:kern w:val="58"/>
          <w:sz w:val="44"/>
          <w:szCs w:val="44"/>
          <w:lang w:val="en-US" w:eastAsia="zh-CN"/>
        </w:rPr>
        <w:t>统一收费管理系统及电子票据系统建设需求</w:t>
      </w:r>
    </w:p>
    <w:bookmarkEnd w:id="0"/>
    <w:bookmarkEnd w:id="1"/>
    <w:bookmarkEnd w:id="2"/>
    <w:bookmarkEnd w:id="3"/>
    <w:bookmarkEnd w:id="4"/>
    <w:bookmarkEnd w:id="5"/>
    <w:p>
      <w:pPr>
        <w:bidi w:val="0"/>
      </w:pPr>
    </w:p>
    <w:p>
      <w:pPr>
        <w:adjustRightInd w:val="0"/>
        <w:ind w:firstLine="640" w:firstLineChars="200"/>
        <w:textAlignment w:val="baseline"/>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一、项目工</w:t>
      </w:r>
      <w:r>
        <w:rPr>
          <w:rFonts w:hint="eastAsia" w:ascii="方正黑体_GBK" w:hAnsi="方正黑体_GBK" w:eastAsia="方正黑体_GBK" w:cs="方正黑体_GBK"/>
          <w:color w:val="000000"/>
          <w:kern w:val="0"/>
          <w:sz w:val="32"/>
          <w:szCs w:val="32"/>
        </w:rPr>
        <w:t>期</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签订合同后30天内完成所有功能的开发与部署，同时完成项目建设内容的开发、联调、实施和上线工作。</w:t>
      </w:r>
    </w:p>
    <w:p>
      <w:pPr>
        <w:adjustRightInd w:val="0"/>
        <w:ind w:firstLine="640" w:firstLineChars="200"/>
        <w:textAlignment w:val="baseline"/>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二、项目地点</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项目地点：</w:t>
      </w:r>
      <w:r>
        <w:rPr>
          <w:rFonts w:hint="eastAsia" w:ascii="方正仿宋_GBK" w:hAnsi="方正仿宋_GBK" w:eastAsia="方正仿宋_GBK" w:cs="方正仿宋_GBK"/>
          <w:color w:val="000000"/>
          <w:kern w:val="0"/>
          <w:sz w:val="32"/>
          <w:szCs w:val="32"/>
          <w:lang w:val="en-US" w:eastAsia="zh-CN"/>
        </w:rPr>
        <w:t>重庆市矿业工程学校</w:t>
      </w:r>
      <w:r>
        <w:rPr>
          <w:rFonts w:hint="eastAsia" w:ascii="方正仿宋_GBK" w:hAnsi="方正仿宋_GBK" w:eastAsia="方正仿宋_GBK" w:cs="方正仿宋_GBK"/>
          <w:color w:val="000000"/>
          <w:kern w:val="0"/>
          <w:sz w:val="32"/>
          <w:szCs w:val="32"/>
        </w:rPr>
        <w:t>指定地点。</w:t>
      </w:r>
    </w:p>
    <w:p>
      <w:pPr>
        <w:adjustRightInd w:val="0"/>
        <w:ind w:firstLine="640" w:firstLineChars="200"/>
        <w:textAlignment w:val="baseline"/>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三、项目要求</w:t>
      </w:r>
    </w:p>
    <w:p>
      <w:pPr>
        <w:adjustRightInd w:val="0"/>
        <w:ind w:firstLine="640" w:firstLineChars="200"/>
        <w:textAlignment w:val="baseline"/>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lang w:val="en-US" w:eastAsia="zh-CN"/>
        </w:rPr>
        <w:t>一</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项目建设背景</w:t>
      </w:r>
    </w:p>
    <w:p>
      <w:pPr>
        <w:bidi w:val="0"/>
        <w:ind w:firstLine="640" w:firstLineChars="200"/>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随着互联网、移动智能技术的飞速发展，网络</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、电子支付等新兴</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模式广泛应用，</w:t>
      </w:r>
      <w:r>
        <w:rPr>
          <w:rFonts w:hint="eastAsia" w:ascii="方正仿宋_GBK" w:hAnsi="方正仿宋_GBK" w:eastAsia="方正仿宋_GBK" w:cs="方正仿宋_GBK"/>
          <w:color w:val="000000"/>
          <w:kern w:val="0"/>
          <w:sz w:val="32"/>
          <w:szCs w:val="32"/>
          <w:lang w:val="en-US" w:eastAsia="zh-CN"/>
        </w:rPr>
        <w:t>以及国家对电子发票的大力推广，</w:t>
      </w:r>
      <w:r>
        <w:rPr>
          <w:rFonts w:hint="eastAsia" w:ascii="方正仿宋_GBK" w:hAnsi="方正仿宋_GBK" w:eastAsia="方正仿宋_GBK" w:cs="方正仿宋_GBK"/>
          <w:color w:val="000000"/>
          <w:kern w:val="0"/>
          <w:sz w:val="32"/>
          <w:szCs w:val="32"/>
        </w:rPr>
        <w:t>对我校收费、票据管理工作提出了新的要求和挑战。传统纸质票据开具效率低、流转不便捷、管理成本高、报销入账程序复杂等问题日益突出，亟需解决。</w:t>
      </w:r>
      <w:r>
        <w:rPr>
          <w:rFonts w:hint="eastAsia" w:ascii="方正仿宋_GBK" w:hAnsi="方正仿宋_GBK" w:eastAsia="方正仿宋_GBK" w:cs="方正仿宋_GBK"/>
          <w:b w:val="0"/>
          <w:bCs w:val="0"/>
          <w:color w:val="000000"/>
          <w:kern w:val="0"/>
          <w:sz w:val="32"/>
          <w:szCs w:val="32"/>
          <w:lang w:val="en-US" w:eastAsia="zh-CN" w:bidi="ar-SA"/>
        </w:rPr>
        <w:t>2012年和2013年财政部相继下发了《关于推进财政票据电子化改革的方案》（财综〔2012〕104号）和《关于中央部门和单位开展财政票据电子化改革试点工作的通知》（财综〔2013〕46号），从2013年开始，财政部开始在中央部门和单位实施财政票据电子化网络版改革试点工作。国家税务总局关于推行通过增值税电子发票系统开具的增值税电子普通发票有关问题的公告（国家税务总局公告2015年第84号）明确部署推广电子增值税发票。2017年6月19日，财政部印发了《</w:t>
      </w:r>
      <w:r>
        <w:rPr>
          <w:rFonts w:hint="eastAsia" w:ascii="方正仿宋_GBK" w:hAnsi="方正仿宋_GBK" w:eastAsia="方正仿宋_GBK" w:cs="方正仿宋_GBK"/>
          <w:color w:val="000000"/>
          <w:kern w:val="0"/>
          <w:sz w:val="32"/>
          <w:szCs w:val="32"/>
        </w:rPr>
        <w:t>关于稳步推进财政电子票据管理改革的试点方案》的通知（财综〔2017〕 32号），文中明确要稳步推进财政电子票据管理改革工作。</w:t>
      </w:r>
      <w:r>
        <w:rPr>
          <w:rFonts w:hint="eastAsia" w:ascii="方正仿宋_GBK" w:hAnsi="方正仿宋_GBK" w:eastAsia="方正仿宋_GBK" w:cs="方正仿宋_GBK"/>
          <w:color w:val="000000"/>
          <w:kern w:val="0"/>
          <w:sz w:val="32"/>
          <w:szCs w:val="32"/>
          <w:lang w:val="en-US" w:eastAsia="zh-CN"/>
        </w:rPr>
        <w:t>2021年，《重庆市财政局关于全面启用非税收入收缴电子化全国统一标准系统的通知（渝财非税〔2021〕8号）》明确了非税收入收缴电子化管理的具体要求。</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我校目前主要使用</w:t>
      </w:r>
      <w:r>
        <w:rPr>
          <w:rFonts w:hint="eastAsia" w:ascii="方正仿宋_GBK" w:hAnsi="方正仿宋_GBK" w:eastAsia="方正仿宋_GBK" w:cs="方正仿宋_GBK"/>
          <w:color w:val="000000"/>
          <w:kern w:val="0"/>
          <w:sz w:val="32"/>
          <w:szCs w:val="32"/>
          <w:lang w:val="en-US" w:eastAsia="zh-CN"/>
        </w:rPr>
        <w:t>的票据有</w:t>
      </w:r>
      <w:r>
        <w:rPr>
          <w:rFonts w:hint="eastAsia" w:ascii="方正仿宋_GBK" w:hAnsi="方正仿宋_GBK" w:eastAsia="方正仿宋_GBK" w:cs="方正仿宋_GBK"/>
          <w:color w:val="000000"/>
          <w:kern w:val="0"/>
          <w:sz w:val="32"/>
          <w:szCs w:val="32"/>
        </w:rPr>
        <w:t>非税收入一般</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书、非税收入统一票据、行政事业单位资金往来结算票据等财政票据以及增值税发票</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主要用作收取住宿费、</w:t>
      </w:r>
      <w:r>
        <w:rPr>
          <w:rFonts w:hint="eastAsia" w:ascii="方正仿宋_GBK" w:hAnsi="方正仿宋_GBK" w:eastAsia="方正仿宋_GBK" w:cs="方正仿宋_GBK"/>
          <w:color w:val="000000"/>
          <w:kern w:val="0"/>
          <w:sz w:val="32"/>
          <w:szCs w:val="32"/>
          <w:lang w:val="en-US" w:eastAsia="zh-CN"/>
        </w:rPr>
        <w:t>体检费、</w:t>
      </w:r>
      <w:r>
        <w:rPr>
          <w:rFonts w:hint="eastAsia" w:ascii="方正仿宋_GBK" w:hAnsi="方正仿宋_GBK" w:eastAsia="方正仿宋_GBK" w:cs="方正仿宋_GBK"/>
          <w:color w:val="000000"/>
          <w:kern w:val="0"/>
          <w:sz w:val="32"/>
          <w:szCs w:val="32"/>
        </w:rPr>
        <w:t>代收代缴费用、培训费等</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我校</w:t>
      </w:r>
      <w:r>
        <w:rPr>
          <w:rFonts w:hint="eastAsia" w:ascii="方正仿宋_GBK" w:hAnsi="方正仿宋_GBK" w:eastAsia="方正仿宋_GBK" w:cs="方正仿宋_GBK"/>
          <w:color w:val="000000"/>
          <w:kern w:val="0"/>
          <w:sz w:val="32"/>
          <w:szCs w:val="32"/>
          <w:lang w:val="en-US" w:eastAsia="zh-CN"/>
        </w:rPr>
        <w:t>收费期相对集中，一是9月开学季期间，面向学生收取住宿费、体检费、代收教材费等代收费项目；二是各类培训开班前，向报名参训的校内外人员收取培训费。</w:t>
      </w:r>
      <w:r>
        <w:rPr>
          <w:rFonts w:hint="eastAsia" w:ascii="方正仿宋_GBK" w:hAnsi="方正仿宋_GBK" w:eastAsia="方正仿宋_GBK" w:cs="方正仿宋_GBK"/>
          <w:color w:val="000000"/>
          <w:kern w:val="0"/>
          <w:sz w:val="32"/>
          <w:szCs w:val="32"/>
        </w:rPr>
        <w:t>当前我校的</w:t>
      </w:r>
      <w:r>
        <w:rPr>
          <w:rFonts w:hint="eastAsia" w:ascii="方正仿宋_GBK" w:hAnsi="方正仿宋_GBK" w:eastAsia="方正仿宋_GBK" w:cs="方正仿宋_GBK"/>
          <w:color w:val="000000"/>
          <w:kern w:val="0"/>
          <w:sz w:val="32"/>
          <w:szCs w:val="32"/>
          <w:lang w:val="en-US" w:eastAsia="zh-CN"/>
        </w:rPr>
        <w:t>收费开票</w:t>
      </w:r>
      <w:r>
        <w:rPr>
          <w:rFonts w:hint="eastAsia" w:ascii="方正仿宋_GBK" w:hAnsi="方正仿宋_GBK" w:eastAsia="方正仿宋_GBK" w:cs="方正仿宋_GBK"/>
          <w:color w:val="000000"/>
          <w:kern w:val="0"/>
          <w:sz w:val="32"/>
          <w:szCs w:val="32"/>
        </w:rPr>
        <w:t>方式</w:t>
      </w:r>
      <w:r>
        <w:rPr>
          <w:rFonts w:hint="eastAsia" w:ascii="方正仿宋_GBK" w:hAnsi="方正仿宋_GBK" w:eastAsia="方正仿宋_GBK" w:cs="方正仿宋_GBK"/>
          <w:color w:val="000000"/>
          <w:kern w:val="0"/>
          <w:sz w:val="32"/>
          <w:szCs w:val="32"/>
          <w:lang w:val="en-US" w:eastAsia="zh-CN"/>
        </w:rPr>
        <w:t>主要有两种类型，一是面向在校学生收费采用工商银行银校通E缴费系统，通过工商银行的银行卡进行现场扫码工商银行E缴费二维码缴费，待全部收费完毕后集中开具</w:t>
      </w:r>
      <w:r>
        <w:rPr>
          <w:rFonts w:hint="eastAsia" w:ascii="方正仿宋_GBK" w:hAnsi="方正仿宋_GBK" w:eastAsia="方正仿宋_GBK" w:cs="方正仿宋_GBK"/>
          <w:color w:val="000000"/>
          <w:kern w:val="0"/>
          <w:sz w:val="32"/>
          <w:szCs w:val="32"/>
        </w:rPr>
        <w:t>非税收入一般</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书、非税收入统一票据、行政事业单位资金往来结算票据</w:t>
      </w:r>
      <w:r>
        <w:rPr>
          <w:rFonts w:hint="eastAsia" w:ascii="方正仿宋_GBK" w:hAnsi="方正仿宋_GBK" w:eastAsia="方正仿宋_GBK" w:cs="方正仿宋_GBK"/>
          <w:color w:val="000000"/>
          <w:kern w:val="0"/>
          <w:sz w:val="32"/>
          <w:szCs w:val="32"/>
          <w:lang w:val="en-US" w:eastAsia="zh-CN"/>
        </w:rPr>
        <w:t>等纸质财政票据；二是各类培训收费</w:t>
      </w:r>
      <w:r>
        <w:rPr>
          <w:rFonts w:hint="eastAsia" w:ascii="方正仿宋_GBK" w:hAnsi="方正仿宋_GBK" w:eastAsia="方正仿宋_GBK" w:cs="方正仿宋_GBK"/>
          <w:color w:val="000000"/>
          <w:kern w:val="0"/>
          <w:sz w:val="32"/>
          <w:szCs w:val="32"/>
        </w:rPr>
        <w:t>通过现场缴费的方式，仅限于现金或POS刷卡</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收费时同步开具税务纸质发票</w:t>
      </w:r>
      <w:r>
        <w:rPr>
          <w:rFonts w:hint="eastAsia" w:ascii="方正仿宋_GBK" w:hAnsi="方正仿宋_GBK" w:eastAsia="方正仿宋_GBK" w:cs="方正仿宋_GBK"/>
          <w:color w:val="000000"/>
          <w:kern w:val="0"/>
          <w:sz w:val="32"/>
          <w:szCs w:val="32"/>
        </w:rPr>
        <w:t>。</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结合前述财政部、税务总局、重庆市财政局等有关政策要求，在收费与</w:t>
      </w:r>
      <w:r>
        <w:rPr>
          <w:rFonts w:hint="eastAsia" w:ascii="方正仿宋_GBK" w:hAnsi="方正仿宋_GBK" w:eastAsia="方正仿宋_GBK" w:cs="方正仿宋_GBK"/>
          <w:color w:val="000000"/>
          <w:kern w:val="0"/>
          <w:sz w:val="32"/>
          <w:szCs w:val="32"/>
        </w:rPr>
        <w:t>票据管理</w:t>
      </w:r>
      <w:r>
        <w:rPr>
          <w:rFonts w:hint="eastAsia" w:ascii="方正仿宋_GBK" w:hAnsi="方正仿宋_GBK" w:eastAsia="方正仿宋_GBK" w:cs="方正仿宋_GBK"/>
          <w:color w:val="000000"/>
          <w:kern w:val="0"/>
          <w:sz w:val="32"/>
          <w:szCs w:val="32"/>
          <w:lang w:val="en-US" w:eastAsia="zh-CN"/>
        </w:rPr>
        <w:t>方面，我校现有收费开票流程</w:t>
      </w:r>
      <w:r>
        <w:rPr>
          <w:rFonts w:hint="eastAsia" w:ascii="方正仿宋_GBK" w:hAnsi="方正仿宋_GBK" w:eastAsia="方正仿宋_GBK" w:cs="方正仿宋_GBK"/>
          <w:color w:val="000000"/>
          <w:kern w:val="0"/>
          <w:sz w:val="32"/>
          <w:szCs w:val="32"/>
        </w:rPr>
        <w:t>存在</w:t>
      </w:r>
      <w:r>
        <w:rPr>
          <w:rFonts w:hint="eastAsia" w:ascii="方正仿宋_GBK" w:hAnsi="方正仿宋_GBK" w:eastAsia="方正仿宋_GBK" w:cs="方正仿宋_GBK"/>
          <w:color w:val="000000"/>
          <w:kern w:val="0"/>
          <w:sz w:val="32"/>
          <w:szCs w:val="32"/>
          <w:lang w:val="en-US" w:eastAsia="zh-CN"/>
        </w:rPr>
        <w:t>一些突出</w:t>
      </w:r>
      <w:r>
        <w:rPr>
          <w:rFonts w:hint="eastAsia" w:ascii="方正仿宋_GBK" w:hAnsi="方正仿宋_GBK" w:eastAsia="方正仿宋_GBK" w:cs="方正仿宋_GBK"/>
          <w:color w:val="000000"/>
          <w:kern w:val="0"/>
          <w:sz w:val="32"/>
          <w:szCs w:val="32"/>
        </w:rPr>
        <w:t>问题：（1）</w:t>
      </w:r>
      <w:r>
        <w:rPr>
          <w:rFonts w:hint="eastAsia" w:ascii="方正仿宋_GBK" w:hAnsi="方正仿宋_GBK" w:eastAsia="方正仿宋_GBK" w:cs="方正仿宋_GBK"/>
          <w:color w:val="000000"/>
          <w:kern w:val="0"/>
          <w:sz w:val="32"/>
          <w:szCs w:val="32"/>
          <w:lang w:val="en-US" w:eastAsia="zh-CN"/>
        </w:rPr>
        <w:t>学校收费期集中，学生、家长及其他缴费人在收费期间人员聚集、等待时间长；</w:t>
      </w:r>
      <w:r>
        <w:rPr>
          <w:rFonts w:hint="eastAsia"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lang w:val="en-US" w:eastAsia="zh-CN"/>
        </w:rPr>
        <w:t>纸质票据种类多、票量大，集中收费后，财务科需安排专人集中在短时间内打印已收费的所有票据，</w:t>
      </w:r>
      <w:r>
        <w:rPr>
          <w:rFonts w:hint="eastAsia" w:ascii="方正仿宋_GBK" w:hAnsi="方正仿宋_GBK" w:eastAsia="方正仿宋_GBK" w:cs="方正仿宋_GBK"/>
          <w:color w:val="000000"/>
          <w:kern w:val="0"/>
          <w:sz w:val="32"/>
          <w:szCs w:val="32"/>
        </w:rPr>
        <w:t>票据打印</w:t>
      </w:r>
      <w:r>
        <w:rPr>
          <w:rFonts w:hint="eastAsia" w:ascii="方正仿宋_GBK" w:hAnsi="方正仿宋_GBK" w:eastAsia="方正仿宋_GBK" w:cs="方正仿宋_GBK"/>
          <w:color w:val="000000"/>
          <w:kern w:val="0"/>
          <w:sz w:val="32"/>
          <w:szCs w:val="32"/>
          <w:lang w:val="en-US" w:eastAsia="zh-CN"/>
        </w:rPr>
        <w:t>量巨大</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但</w:t>
      </w:r>
      <w:r>
        <w:rPr>
          <w:rFonts w:hint="eastAsia" w:ascii="方正仿宋_GBK" w:hAnsi="方正仿宋_GBK" w:eastAsia="方正仿宋_GBK" w:cs="方正仿宋_GBK"/>
          <w:color w:val="000000"/>
          <w:kern w:val="0"/>
          <w:sz w:val="32"/>
          <w:szCs w:val="32"/>
        </w:rPr>
        <w:t>实际情况下大部分学生其实不需要纸质票据且无较大实际意义；</w:t>
      </w:r>
      <w:r>
        <w:rPr>
          <w:rFonts w:hint="eastAsia" w:ascii="方正仿宋_GBK" w:hAnsi="方正仿宋_GBK" w:eastAsia="方正仿宋_GBK" w:cs="方正仿宋_GBK"/>
          <w:color w:val="000000"/>
          <w:kern w:val="0"/>
          <w:sz w:val="32"/>
          <w:szCs w:val="32"/>
          <w:lang w:val="en-US" w:eastAsia="zh-CN"/>
        </w:rPr>
        <w:t>（3）纸质</w:t>
      </w:r>
      <w:r>
        <w:rPr>
          <w:rFonts w:hint="eastAsia" w:ascii="方正仿宋_GBK" w:hAnsi="方正仿宋_GBK" w:eastAsia="方正仿宋_GBK" w:cs="方正仿宋_GBK"/>
          <w:color w:val="000000"/>
          <w:kern w:val="0"/>
          <w:sz w:val="32"/>
          <w:szCs w:val="32"/>
        </w:rPr>
        <w:t>票据分发困难且效率不高</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财务科将</w:t>
      </w:r>
      <w:r>
        <w:rPr>
          <w:rFonts w:hint="eastAsia" w:ascii="方正仿宋_GBK" w:hAnsi="方正仿宋_GBK" w:eastAsia="方正仿宋_GBK" w:cs="方正仿宋_GBK"/>
          <w:color w:val="000000"/>
          <w:kern w:val="0"/>
          <w:sz w:val="32"/>
          <w:szCs w:val="32"/>
        </w:rPr>
        <w:t>所有票据打印完成后，又需要</w:t>
      </w:r>
      <w:r>
        <w:rPr>
          <w:rFonts w:hint="eastAsia" w:ascii="方正仿宋_GBK" w:hAnsi="方正仿宋_GBK" w:eastAsia="方正仿宋_GBK" w:cs="方正仿宋_GBK"/>
          <w:color w:val="000000"/>
          <w:kern w:val="0"/>
          <w:sz w:val="32"/>
          <w:szCs w:val="32"/>
          <w:lang w:val="en-US" w:eastAsia="zh-CN"/>
        </w:rPr>
        <w:t>根据收费类型，</w:t>
      </w:r>
      <w:r>
        <w:rPr>
          <w:rFonts w:hint="eastAsia" w:ascii="方正仿宋_GBK" w:hAnsi="方正仿宋_GBK" w:eastAsia="方正仿宋_GBK" w:cs="方正仿宋_GBK"/>
          <w:color w:val="000000"/>
          <w:kern w:val="0"/>
          <w:sz w:val="32"/>
          <w:szCs w:val="32"/>
        </w:rPr>
        <w:t>分发到各部门，再</w:t>
      </w:r>
      <w:r>
        <w:rPr>
          <w:rFonts w:hint="eastAsia" w:ascii="方正仿宋_GBK" w:hAnsi="方正仿宋_GBK" w:eastAsia="方正仿宋_GBK" w:cs="方正仿宋_GBK"/>
          <w:color w:val="000000"/>
          <w:kern w:val="0"/>
          <w:sz w:val="32"/>
          <w:szCs w:val="32"/>
          <w:lang w:val="en-US" w:eastAsia="zh-CN"/>
        </w:rPr>
        <w:t>由各部门发放到</w:t>
      </w:r>
      <w:r>
        <w:rPr>
          <w:rFonts w:hint="eastAsia" w:ascii="方正仿宋_GBK" w:hAnsi="方正仿宋_GBK" w:eastAsia="方正仿宋_GBK" w:cs="方正仿宋_GBK"/>
          <w:color w:val="000000"/>
          <w:kern w:val="0"/>
          <w:sz w:val="32"/>
          <w:szCs w:val="32"/>
        </w:rPr>
        <w:t>各</w:t>
      </w:r>
      <w:r>
        <w:rPr>
          <w:rFonts w:hint="eastAsia" w:ascii="方正仿宋_GBK" w:hAnsi="方正仿宋_GBK" w:eastAsia="方正仿宋_GBK" w:cs="方正仿宋_GBK"/>
          <w:color w:val="000000"/>
          <w:kern w:val="0"/>
          <w:sz w:val="32"/>
          <w:szCs w:val="32"/>
          <w:lang w:val="en-US" w:eastAsia="zh-CN"/>
        </w:rPr>
        <w:t>班主任，再由各班主任发放到</w:t>
      </w:r>
      <w:r>
        <w:rPr>
          <w:rFonts w:hint="eastAsia" w:ascii="方正仿宋_GBK" w:hAnsi="方正仿宋_GBK" w:eastAsia="方正仿宋_GBK" w:cs="方正仿宋_GBK"/>
          <w:color w:val="000000"/>
          <w:kern w:val="0"/>
          <w:sz w:val="32"/>
          <w:szCs w:val="32"/>
        </w:rPr>
        <w:t>各个学生手中，中间环节众多，时间周期</w:t>
      </w:r>
      <w:r>
        <w:rPr>
          <w:rFonts w:hint="eastAsia" w:ascii="方正仿宋_GBK" w:hAnsi="方正仿宋_GBK" w:eastAsia="方正仿宋_GBK" w:cs="方正仿宋_GBK"/>
          <w:color w:val="000000"/>
          <w:kern w:val="0"/>
          <w:sz w:val="32"/>
          <w:szCs w:val="32"/>
          <w:lang w:val="en-US" w:eastAsia="zh-CN"/>
        </w:rPr>
        <w:t>长，发放出错率高，重复工作多</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缴费期短，对账难度大。</w:t>
      </w:r>
      <w:r>
        <w:rPr>
          <w:rFonts w:hint="eastAsia" w:ascii="方正仿宋_GBK" w:hAnsi="方正仿宋_GBK" w:eastAsia="方正仿宋_GBK" w:cs="方正仿宋_GBK"/>
          <w:color w:val="000000"/>
          <w:kern w:val="0"/>
          <w:sz w:val="32"/>
          <w:szCs w:val="32"/>
        </w:rPr>
        <w:t>缴费</w:t>
      </w:r>
      <w:r>
        <w:rPr>
          <w:rFonts w:hint="eastAsia" w:ascii="方正仿宋_GBK" w:hAnsi="方正仿宋_GBK" w:eastAsia="方正仿宋_GBK" w:cs="方正仿宋_GBK"/>
          <w:color w:val="000000"/>
          <w:kern w:val="0"/>
          <w:sz w:val="32"/>
          <w:szCs w:val="32"/>
          <w:lang w:val="en-US" w:eastAsia="zh-CN"/>
        </w:rPr>
        <w:t>主要</w:t>
      </w:r>
      <w:r>
        <w:rPr>
          <w:rFonts w:hint="eastAsia" w:ascii="方正仿宋_GBK" w:hAnsi="方正仿宋_GBK" w:eastAsia="方正仿宋_GBK" w:cs="方正仿宋_GBK"/>
          <w:color w:val="000000"/>
          <w:kern w:val="0"/>
          <w:sz w:val="32"/>
          <w:szCs w:val="32"/>
        </w:rPr>
        <w:t>集中在开学报名的这段时间内，收费涉及非税收入、代收费</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培训费</w:t>
      </w:r>
      <w:r>
        <w:rPr>
          <w:rFonts w:hint="eastAsia" w:ascii="方正仿宋_GBK" w:hAnsi="方正仿宋_GBK" w:eastAsia="方正仿宋_GBK" w:cs="方正仿宋_GBK"/>
          <w:color w:val="000000"/>
          <w:kern w:val="0"/>
          <w:sz w:val="32"/>
          <w:szCs w:val="32"/>
        </w:rPr>
        <w:t>等</w:t>
      </w:r>
      <w:r>
        <w:rPr>
          <w:rFonts w:hint="eastAsia" w:ascii="方正仿宋_GBK" w:hAnsi="方正仿宋_GBK" w:eastAsia="方正仿宋_GBK" w:cs="方正仿宋_GBK"/>
          <w:color w:val="000000"/>
          <w:kern w:val="0"/>
          <w:sz w:val="32"/>
          <w:szCs w:val="32"/>
          <w:lang w:val="en-US" w:eastAsia="zh-CN"/>
        </w:rPr>
        <w:t>几种类型</w:t>
      </w:r>
      <w:r>
        <w:rPr>
          <w:rFonts w:hint="eastAsia" w:ascii="方正仿宋_GBK" w:hAnsi="方正仿宋_GBK" w:eastAsia="方正仿宋_GBK" w:cs="方正仿宋_GBK"/>
          <w:color w:val="000000"/>
          <w:kern w:val="0"/>
          <w:sz w:val="32"/>
          <w:szCs w:val="32"/>
        </w:rPr>
        <w:t>，没有电子</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信息可核对，只有找原始凭证</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学校与银行对账工作量大，容易出现差错</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）纸质原始票据保管困难，查找往年纸质票据更是难上加难</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rPr>
        <w:t>）现目前的收缴系统无法对接财政电子票据系统、税务电子票据系统，</w:t>
      </w:r>
      <w:r>
        <w:rPr>
          <w:rFonts w:hint="eastAsia" w:ascii="方正仿宋_GBK" w:hAnsi="方正仿宋_GBK" w:eastAsia="方正仿宋_GBK" w:cs="方正仿宋_GBK"/>
          <w:color w:val="000000"/>
          <w:kern w:val="0"/>
          <w:sz w:val="32"/>
          <w:szCs w:val="32"/>
          <w:lang w:val="en-US" w:eastAsia="zh-CN"/>
        </w:rPr>
        <w:t>无法实现票据电子化，开票</w:t>
      </w:r>
      <w:r>
        <w:rPr>
          <w:rFonts w:hint="eastAsia" w:ascii="方正仿宋_GBK" w:hAnsi="方正仿宋_GBK" w:eastAsia="方正仿宋_GBK" w:cs="方正仿宋_GBK"/>
          <w:color w:val="000000"/>
          <w:kern w:val="0"/>
          <w:sz w:val="32"/>
          <w:szCs w:val="32"/>
        </w:rPr>
        <w:t>效率低</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与社会发展进程不相适应</w:t>
      </w:r>
      <w:r>
        <w:rPr>
          <w:rFonts w:hint="eastAsia" w:ascii="方正仿宋_GBK" w:hAnsi="方正仿宋_GBK" w:eastAsia="方正仿宋_GBK" w:cs="方正仿宋_GBK"/>
          <w:color w:val="000000"/>
          <w:kern w:val="0"/>
          <w:sz w:val="32"/>
          <w:szCs w:val="32"/>
        </w:rPr>
        <w:t>。</w:t>
      </w:r>
    </w:p>
    <w:p>
      <w:pPr>
        <w:adjustRightInd w:val="0"/>
        <w:ind w:firstLine="640" w:firstLineChars="200"/>
        <w:textAlignment w:val="baseline"/>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lang w:val="en-US" w:eastAsia="zh-CN"/>
        </w:rPr>
        <w:t>二</w:t>
      </w:r>
      <w:r>
        <w:rPr>
          <w:rFonts w:hint="eastAsia" w:ascii="方正楷体_GBK" w:hAnsi="方正楷体_GBK" w:eastAsia="方正楷体_GBK" w:cs="方正楷体_GBK"/>
          <w:color w:val="000000"/>
          <w:kern w:val="0"/>
          <w:sz w:val="32"/>
          <w:szCs w:val="32"/>
          <w:lang w:eastAsia="zh-CN"/>
        </w:rPr>
        <w:t>）项目建设目标</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充分运用计算机和信息网络手段，着力建设我校科学完善的</w:t>
      </w:r>
      <w:bookmarkStart w:id="6" w:name="_Hlk79408840"/>
      <w:r>
        <w:rPr>
          <w:rFonts w:hint="eastAsia" w:ascii="方正仿宋_GBK" w:hAnsi="方正仿宋_GBK" w:eastAsia="方正仿宋_GBK" w:cs="方正仿宋_GBK"/>
          <w:color w:val="000000"/>
          <w:kern w:val="0"/>
          <w:sz w:val="32"/>
          <w:szCs w:val="32"/>
        </w:rPr>
        <w:t>学校统一收费及电子票据系统</w:t>
      </w:r>
      <w:bookmarkEnd w:id="6"/>
      <w:r>
        <w:rPr>
          <w:rFonts w:hint="eastAsia" w:ascii="方正仿宋_GBK" w:hAnsi="方正仿宋_GBK" w:eastAsia="方正仿宋_GBK" w:cs="方正仿宋_GBK"/>
          <w:color w:val="000000"/>
          <w:kern w:val="0"/>
          <w:sz w:val="32"/>
          <w:szCs w:val="32"/>
        </w:rPr>
        <w:t>，创新票据管理模式，实施电子票据管理，实现电子票据开具、管理、传输、查询、存储、等全流程无纸化电子化控制，以数字化信息手段控制收费、管理收费，从而构建更加科学、高效、便捷的票据及收费管理体系，推进行我校收费管理网络化、电子化建设。</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重庆市财政局正在稳步推行电</w:t>
      </w:r>
      <w:r>
        <w:rPr>
          <w:rFonts w:hint="eastAsia" w:ascii="方正仿宋_GBK" w:hAnsi="方正仿宋_GBK" w:eastAsia="方正仿宋_GBK" w:cs="方正仿宋_GBK"/>
          <w:color w:val="auto"/>
          <w:kern w:val="0"/>
          <w:sz w:val="32"/>
          <w:szCs w:val="32"/>
        </w:rPr>
        <w:t>子票据和收缴电子化改革，此次我校学校统一收费及电子票据系统的升级改造，在财政票据方面需符合</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重庆市财政局关于全面启用非税收入收缴电子化全国统一标准系统的通知（渝财非税〔2021〕8号）</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的相关规定。另外，在财政票据基础上，我校还要完备税务发票的应用需求，解决</w:t>
      </w:r>
      <w:r>
        <w:rPr>
          <w:rFonts w:hint="eastAsia" w:ascii="方正仿宋_GBK" w:hAnsi="方正仿宋_GBK" w:eastAsia="方正仿宋_GBK" w:cs="方正仿宋_GBK"/>
          <w:color w:val="000000"/>
          <w:kern w:val="0"/>
          <w:sz w:val="32"/>
          <w:szCs w:val="32"/>
        </w:rPr>
        <w:t>我校对</w:t>
      </w:r>
      <w:r>
        <w:rPr>
          <w:rFonts w:hint="eastAsia" w:ascii="方正仿宋_GBK" w:hAnsi="方正仿宋_GBK" w:eastAsia="方正仿宋_GBK" w:cs="方正仿宋_GBK"/>
          <w:color w:val="000000"/>
          <w:kern w:val="0"/>
          <w:sz w:val="32"/>
          <w:szCs w:val="32"/>
          <w:lang w:val="en-US" w:eastAsia="zh-CN"/>
        </w:rPr>
        <w:t>财政票据</w:t>
      </w:r>
      <w:r>
        <w:rPr>
          <w:rFonts w:hint="eastAsia" w:ascii="方正仿宋_GBK" w:hAnsi="方正仿宋_GBK" w:eastAsia="方正仿宋_GBK" w:cs="方正仿宋_GBK"/>
          <w:color w:val="000000"/>
          <w:kern w:val="0"/>
          <w:sz w:val="32"/>
          <w:szCs w:val="32"/>
        </w:rPr>
        <w:t>与</w:t>
      </w:r>
      <w:r>
        <w:rPr>
          <w:rFonts w:hint="eastAsia" w:ascii="方正仿宋_GBK" w:hAnsi="方正仿宋_GBK" w:eastAsia="方正仿宋_GBK" w:cs="方正仿宋_GBK"/>
          <w:color w:val="000000"/>
          <w:kern w:val="0"/>
          <w:sz w:val="32"/>
          <w:szCs w:val="32"/>
          <w:lang w:val="en-US" w:eastAsia="zh-CN"/>
        </w:rPr>
        <w:t>税务票据</w:t>
      </w:r>
      <w:r>
        <w:rPr>
          <w:rFonts w:hint="eastAsia" w:ascii="方正仿宋_GBK" w:hAnsi="方正仿宋_GBK" w:eastAsia="方正仿宋_GBK" w:cs="方正仿宋_GBK"/>
          <w:color w:val="000000"/>
          <w:kern w:val="0"/>
          <w:sz w:val="32"/>
          <w:szCs w:val="32"/>
        </w:rPr>
        <w:t>分散管理、人力资源与物力资源重复消耗的现状</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将我校财票系统与税票系统双票合一，统一管理。</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通过收费管理系统的建设，实现收费业务办理、收缴管理、票据管理、财务对账的一站式服务。为学生、家长</w:t>
      </w:r>
      <w:r>
        <w:rPr>
          <w:rFonts w:hint="eastAsia" w:ascii="方正仿宋_GBK" w:hAnsi="方正仿宋_GBK" w:eastAsia="方正仿宋_GBK" w:cs="方正仿宋_GBK"/>
          <w:color w:val="000000"/>
          <w:kern w:val="0"/>
          <w:sz w:val="32"/>
          <w:szCs w:val="32"/>
          <w:lang w:val="en-US" w:eastAsia="zh-CN"/>
        </w:rPr>
        <w:t>及其他交款人</w:t>
      </w:r>
      <w:r>
        <w:rPr>
          <w:rFonts w:hint="eastAsia" w:ascii="方正仿宋_GBK" w:hAnsi="方正仿宋_GBK" w:eastAsia="方正仿宋_GBK" w:cs="方正仿宋_GBK"/>
          <w:color w:val="000000"/>
          <w:kern w:val="0"/>
          <w:sz w:val="32"/>
          <w:szCs w:val="32"/>
        </w:rPr>
        <w:t>提供现场、网上门户、微信公众号等多入口缴费，现金、POS刷卡、微信、支付宝等多渠道缴费，实时开票，解决“</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不便”、“取票不便”等问题。</w:t>
      </w:r>
    </w:p>
    <w:p>
      <w:pPr>
        <w:adjustRightInd w:val="0"/>
        <w:ind w:firstLine="640" w:firstLineChars="200"/>
        <w:textAlignment w:val="baseline"/>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lang w:val="en-US" w:eastAsia="zh-CN"/>
        </w:rPr>
        <w:t>三</w:t>
      </w:r>
      <w:r>
        <w:rPr>
          <w:rFonts w:hint="eastAsia" w:ascii="方正楷体_GBK" w:hAnsi="方正楷体_GBK" w:eastAsia="方正楷体_GBK" w:cs="方正楷体_GBK"/>
          <w:color w:val="000000"/>
          <w:kern w:val="0"/>
          <w:sz w:val="32"/>
          <w:szCs w:val="32"/>
          <w:lang w:eastAsia="zh-CN"/>
        </w:rPr>
        <w:t>）项目功能需求</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学校统一收费系统</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通过与财政票据系统、各方缴费渠道以及学校</w:t>
      </w:r>
      <w:r>
        <w:rPr>
          <w:rFonts w:hint="eastAsia" w:ascii="方正仿宋_GBK" w:hAnsi="方正仿宋_GBK" w:eastAsia="方正仿宋_GBK" w:cs="方正仿宋_GBK"/>
          <w:color w:val="000000"/>
          <w:kern w:val="0"/>
          <w:sz w:val="32"/>
          <w:szCs w:val="32"/>
          <w:lang w:val="en-US" w:eastAsia="zh-CN"/>
        </w:rPr>
        <w:t>学籍系统</w:t>
      </w:r>
      <w:r>
        <w:rPr>
          <w:rFonts w:hint="eastAsia" w:ascii="方正仿宋_GBK" w:hAnsi="方正仿宋_GBK" w:eastAsia="方正仿宋_GBK" w:cs="方正仿宋_GBK"/>
          <w:color w:val="000000"/>
          <w:kern w:val="0"/>
          <w:sz w:val="32"/>
          <w:szCs w:val="32"/>
        </w:rPr>
        <w:t>等相关教务系统进行对接建立学校统一收费系统，实现缴费数据的同步、在线缴费、同步获取财政电子票据和税务电子发票等一体化业务应用。为缴费人提供了极大的便利，避免奔波往返于学校和代收银行之间，减少了交通费用，“足不出户，</w:t>
      </w:r>
      <w:r>
        <w:rPr>
          <w:rFonts w:hint="eastAsia" w:ascii="方正仿宋_GBK" w:hAnsi="方正仿宋_GBK" w:eastAsia="方正仿宋_GBK" w:cs="方正仿宋_GBK"/>
          <w:color w:val="000000"/>
          <w:kern w:val="0"/>
          <w:sz w:val="32"/>
          <w:szCs w:val="32"/>
          <w:lang w:val="en-US" w:eastAsia="zh-CN"/>
        </w:rPr>
        <w:t>手机一扫</w:t>
      </w:r>
      <w:r>
        <w:rPr>
          <w:rFonts w:hint="eastAsia" w:ascii="方正仿宋_GBK" w:hAnsi="方正仿宋_GBK" w:eastAsia="方正仿宋_GBK" w:cs="方正仿宋_GBK"/>
          <w:color w:val="000000"/>
          <w:kern w:val="0"/>
          <w:sz w:val="32"/>
          <w:szCs w:val="32"/>
        </w:rPr>
        <w:t>”，便轻松完成了全部缴费程序，有效缓解了“</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难”，特别是满足了异地缴费的需求。</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同时在电子票据方面，根据实际需要可以自动生成财政电子票据或税务电子发票，减少票据的印制和管理成本，提高了工作效率，达到“节能、环保、安全、高效、低碳”的目的。</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学校统一收费系统对学生有关的学费、住宿费、学杂费以及各种情况缴费进行管理</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可支持现金缴费、POS刷卡缴费、微信查询及缴费、支付宝缴费等多种缴费方式。</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校统一收费系统主要包括系统首页、基础资料、系统管理、学校信息配置、收费项目设置、学生信息维护、学校收费项管理、缴费信息生成、应缴费管理、缴费方式管理（提供现金或POS刷卡、网上缴费、微信查询及缴费、自主缴费及注册）、资金汇缴、日终对账、报表查询等功能。</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系统首页主要包括学校收缴情况统计、数据展示板块、快捷入口、收费月份汇总及收费明细月份图等。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基础资料主要包括单位信息、数据字典、票据类型、银行账户信息、商户号信息、单位基础资料管理等。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系统管理主要提供系统全局配置表、系统功能配置、系统设置、单位银行账户审核、新闻管理、支付方式图表配置、订单管理、默认收费项配置、虚拟账户配置、禁止缴费时间段配置、任务调度等。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学校信息配置主要提供通过学校编码或学校名称搜索学校，可新增年级、新增班级等。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收费项目设置主要提供财政收费项目管理、单位收费项目管理、单位收费项目配置等。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6</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学生信息维护主要提供学生字段配置、录入学生基础数据、在校学生管理等。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7</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学校收费项管理主要提供可根据收费项目对应年纪、班级、学生批量生成应缴费信息。包含收费项名称、收费项总额、收费年度、收费季度、收费科目等信息。</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应缴费管理主要提供对应缴费信息管理，可通过系统模板进行批量导入生成。</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9</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缴费方式管理主要提供现金缴费、POS刷卡缴费、网上缴费、微信查询及缴费、自主缴费及注册功能。</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资金汇缴主要提供对于学校的资金汇缴是在学校完成收款后，根据收缴系统提供的相关报表信息，将资金汇缴到对应财政账户中。</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11</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日终对账主要提供对各个系统之间进行多方对账的业务处理，主要是将</w:t>
      </w:r>
      <w:bookmarkStart w:id="7" w:name="_Hlk79409055"/>
      <w:r>
        <w:rPr>
          <w:rFonts w:hint="eastAsia" w:ascii="方正仿宋_GBK" w:hAnsi="方正仿宋_GBK" w:eastAsia="方正仿宋_GBK" w:cs="方正仿宋_GBK"/>
          <w:color w:val="000000"/>
          <w:kern w:val="0"/>
          <w:sz w:val="32"/>
          <w:szCs w:val="32"/>
        </w:rPr>
        <w:t>学校统一收费系统</w:t>
      </w:r>
      <w:bookmarkEnd w:id="7"/>
      <w:r>
        <w:rPr>
          <w:rFonts w:hint="eastAsia" w:ascii="方正仿宋_GBK" w:hAnsi="方正仿宋_GBK" w:eastAsia="方正仿宋_GBK" w:cs="方正仿宋_GBK"/>
          <w:color w:val="000000"/>
          <w:kern w:val="0"/>
          <w:sz w:val="32"/>
          <w:szCs w:val="32"/>
        </w:rPr>
        <w:t>产生的</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明细数据与业务系统、财政系统、第三方支付平台以及银行之间进行账目的比对。能够实现多方自动对账，提高各方的工作效率和保障数据的准确性。在缴费支付成功后，返回支付结果到学校统一收费系统，学校统一收费系统同时发送给各单位业务系统，并与第三方支付平台、收款账户银行、财政非税系统、财政电子票据系统进行对账。</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12</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报表查询主要提供导出EXCEL功能，能够按条件进行查询。</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学校统一收费系统中导入并维护学校、年级、班级、学生资料、待缴费信息，设置对应收费项目信息，生成缴费信息；也可手动添加学校、年级、学生等信息以及待缴费信息等。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13</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缴费人通过微信公众号或支付宝页面查询缴费信息，实现微信、支付宝等便捷支付，</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成功信息实时反馈到财政非税票据系统，系统自动进行资金清分划转，学校、财政、银行三方对账。实现多个缴费项目只需要交一次费就能完成，为缴费人提供方便。</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学校统一收费系统</w:t>
      </w:r>
      <w:r>
        <w:rPr>
          <w:rFonts w:hint="eastAsia" w:ascii="方正仿宋_GBK" w:hAnsi="方正仿宋_GBK" w:eastAsia="方正仿宋_GBK" w:cs="方正仿宋_GBK"/>
          <w:color w:val="000000"/>
          <w:kern w:val="0"/>
          <w:sz w:val="32"/>
          <w:szCs w:val="32"/>
          <w:lang w:val="en-US" w:eastAsia="zh-CN"/>
        </w:rPr>
        <w:t>将</w:t>
      </w:r>
      <w:r>
        <w:rPr>
          <w:rFonts w:hint="eastAsia" w:ascii="方正仿宋_GBK" w:hAnsi="方正仿宋_GBK" w:eastAsia="方正仿宋_GBK" w:cs="方正仿宋_GBK"/>
          <w:color w:val="000000"/>
          <w:kern w:val="0"/>
          <w:sz w:val="32"/>
          <w:szCs w:val="32"/>
        </w:rPr>
        <w:t>为缴费人提供极大的便利，有效缓解“</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难”，特别是解决了开学高峰期缴费排队等候的现象。同时也为学校提供了在票据方面，实时生成电子票据并采取了按需打印纸质票据的原则，缴费人可在缴费成功后获取系统给予的电子票据；实现提高效率，节约票据印制，避免了现金风险，提高了工作效率，成为“节能、环保、安全、高效、低碳”的缴费新方式与电子票据新模式。</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学校方应用</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我校</w:t>
      </w:r>
      <w:r>
        <w:rPr>
          <w:rFonts w:hint="eastAsia" w:ascii="方正仿宋_GBK" w:hAnsi="方正仿宋_GBK" w:eastAsia="方正仿宋_GBK" w:cs="方正仿宋_GBK"/>
          <w:color w:val="000000"/>
          <w:kern w:val="0"/>
          <w:sz w:val="32"/>
          <w:szCs w:val="32"/>
        </w:rPr>
        <w:t>相关部门通过平台创建年级、班级信息，导入学生信息，建立学生基础信息，财务人员通过平台设置年级（班级）对应的收费项目、收费标准及金额，对指定的班级学生可批量生成应缴费用；同一笔收费项里可同时收取非税资金、往来资金</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应税资金</w:t>
      </w:r>
      <w:r>
        <w:rPr>
          <w:rFonts w:hint="eastAsia" w:ascii="方正仿宋_GBK" w:hAnsi="方正仿宋_GBK" w:eastAsia="方正仿宋_GBK" w:cs="方正仿宋_GBK"/>
          <w:color w:val="000000"/>
          <w:kern w:val="0"/>
          <w:sz w:val="32"/>
          <w:szCs w:val="32"/>
        </w:rPr>
        <w:t>。审核人员确认无误后进行发布，发布后对待缴费用还可进行费用减免等操作。</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lang w:eastAsia="zh-CN"/>
        </w:rPr>
        <w:t>缴费</w:t>
      </w:r>
      <w:r>
        <w:rPr>
          <w:rFonts w:hint="eastAsia" w:ascii="方正仿宋_GBK" w:hAnsi="方正仿宋_GBK" w:eastAsia="方正仿宋_GBK" w:cs="方正仿宋_GBK"/>
          <w:color w:val="000000"/>
          <w:kern w:val="0"/>
          <w:sz w:val="32"/>
          <w:szCs w:val="32"/>
        </w:rPr>
        <w:t>人方应用</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移动缴费</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学生、家长</w:t>
      </w:r>
      <w:r>
        <w:rPr>
          <w:rFonts w:hint="eastAsia" w:ascii="方正仿宋_GBK" w:hAnsi="方正仿宋_GBK" w:eastAsia="方正仿宋_GBK" w:cs="方正仿宋_GBK"/>
          <w:color w:val="000000"/>
          <w:kern w:val="0"/>
          <w:sz w:val="32"/>
          <w:szCs w:val="32"/>
          <w:lang w:val="en-US" w:eastAsia="zh-CN"/>
        </w:rPr>
        <w:t>以及其他缴费人</w:t>
      </w:r>
      <w:r>
        <w:rPr>
          <w:rFonts w:hint="eastAsia" w:ascii="方正仿宋_GBK" w:hAnsi="方正仿宋_GBK" w:eastAsia="方正仿宋_GBK" w:cs="方正仿宋_GBK"/>
          <w:color w:val="000000"/>
          <w:kern w:val="0"/>
          <w:sz w:val="32"/>
          <w:szCs w:val="32"/>
        </w:rPr>
        <w:t>可以通过微信公众号、支付宝页面进行缴费信息查询，确认无误后即可直接进行支付（支持微信、支付宝等）。</w:t>
      </w:r>
      <w:r>
        <w:rPr>
          <w:rFonts w:hint="eastAsia" w:ascii="方正仿宋_GBK" w:hAnsi="方正仿宋_GBK" w:eastAsia="方正仿宋_GBK" w:cs="方正仿宋_GBK"/>
          <w:color w:val="000000"/>
          <w:kern w:val="0"/>
          <w:sz w:val="32"/>
          <w:szCs w:val="32"/>
          <w:lang w:val="en-US" w:eastAsia="zh-CN"/>
        </w:rPr>
        <w:t>缴费人</w:t>
      </w:r>
      <w:r>
        <w:rPr>
          <w:rFonts w:hint="eastAsia" w:ascii="方正仿宋_GBK" w:hAnsi="方正仿宋_GBK" w:eastAsia="方正仿宋_GBK" w:cs="方正仿宋_GBK"/>
          <w:color w:val="000000"/>
          <w:kern w:val="0"/>
          <w:sz w:val="32"/>
          <w:szCs w:val="32"/>
        </w:rPr>
        <w:t>缴费后，系统会自动生成电子票据并可实时展现电子票据。</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现场扫码缴费</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学生、家长</w:t>
      </w:r>
      <w:r>
        <w:rPr>
          <w:rFonts w:hint="eastAsia" w:ascii="方正仿宋_GBK" w:hAnsi="方正仿宋_GBK" w:eastAsia="方正仿宋_GBK" w:cs="方正仿宋_GBK"/>
          <w:color w:val="000000"/>
          <w:kern w:val="0"/>
          <w:sz w:val="32"/>
          <w:szCs w:val="32"/>
          <w:lang w:val="en-US" w:eastAsia="zh-CN"/>
        </w:rPr>
        <w:t>以及其他缴费人</w:t>
      </w:r>
      <w:r>
        <w:rPr>
          <w:rFonts w:hint="eastAsia" w:ascii="方正仿宋_GBK" w:hAnsi="方正仿宋_GBK" w:eastAsia="方正仿宋_GBK" w:cs="方正仿宋_GBK"/>
          <w:color w:val="000000"/>
          <w:kern w:val="0"/>
          <w:sz w:val="32"/>
          <w:szCs w:val="32"/>
        </w:rPr>
        <w:t>可以在学校现场进行扫码缴费，业务人员根据学生信息查询出待缴费信息后，生成二维码通过电脑双屏显示或将二维码打印到小票上，</w:t>
      </w:r>
      <w:r>
        <w:rPr>
          <w:rFonts w:hint="eastAsia" w:ascii="方正仿宋_GBK" w:hAnsi="方正仿宋_GBK" w:eastAsia="方正仿宋_GBK" w:cs="方正仿宋_GBK"/>
          <w:color w:val="000000"/>
          <w:kern w:val="0"/>
          <w:sz w:val="32"/>
          <w:szCs w:val="32"/>
          <w:lang w:val="en-US" w:eastAsia="zh-CN"/>
        </w:rPr>
        <w:t>缴费</w:t>
      </w:r>
      <w:r>
        <w:rPr>
          <w:rFonts w:hint="eastAsia" w:ascii="方正仿宋_GBK" w:hAnsi="方正仿宋_GBK" w:eastAsia="方正仿宋_GBK" w:cs="方正仿宋_GBK"/>
          <w:color w:val="000000"/>
          <w:kern w:val="0"/>
          <w:sz w:val="32"/>
          <w:szCs w:val="32"/>
        </w:rPr>
        <w:t>人通过手机扫码二维码查询出待缴费信息后，确认无误后即可直接进行支付（支持微信、支付宝等）。</w:t>
      </w:r>
      <w:r>
        <w:rPr>
          <w:rFonts w:hint="eastAsia" w:ascii="方正仿宋_GBK" w:hAnsi="方正仿宋_GBK" w:eastAsia="方正仿宋_GBK" w:cs="方正仿宋_GBK"/>
          <w:color w:val="000000"/>
          <w:kern w:val="0"/>
          <w:sz w:val="32"/>
          <w:szCs w:val="32"/>
          <w:lang w:val="en-US" w:eastAsia="zh-CN"/>
        </w:rPr>
        <w:t>缴费人</w:t>
      </w:r>
      <w:r>
        <w:rPr>
          <w:rFonts w:hint="eastAsia" w:ascii="方正仿宋_GBK" w:hAnsi="方正仿宋_GBK" w:eastAsia="方正仿宋_GBK" w:cs="方正仿宋_GBK"/>
          <w:color w:val="000000"/>
          <w:kern w:val="0"/>
          <w:sz w:val="32"/>
          <w:szCs w:val="32"/>
        </w:rPr>
        <w:t>缴费后，系统会自动生成电子票据并可实时展现电子票据。</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收费管理系统应与财政票据系统、税务票据系统、各方缴费渠道以及我校校园平台进行对接，实现缴费数据的同步、同步获取电子票据等一体化业务应用。能实时生成电子票据，缴费人可在缴费成功后获取系统给予的电子票据。</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电子票据管理系统</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规范电子票据业务流程管理，实现电子票据申请、入库、开具、冲红、下载等环节的票据信息化管理，满足我校对于电子票据库存管理，开具传输、收费项目统计的分层次多模块综合管理目标。</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电子票据管理系统通过批量导入、手动输入或接口传输开票信息生成相应票据。电子票据管理系统应与财政电子票据系统、税务电子票据系统衔接，生成相应票据信息发送至电子票平台开具电子票据。</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收费管理系统与财政电子票据系统的对接</w:t>
      </w:r>
    </w:p>
    <w:p>
      <w:pPr>
        <w:bidi w:val="0"/>
        <w:ind w:firstLine="640" w:firstLineChars="200"/>
        <w:rPr>
          <w:rFonts w:hint="eastAsia" w:ascii="方正仿宋_GBK" w:hAnsi="方正仿宋_GBK" w:eastAsia="方正仿宋_GBK" w:cs="方正仿宋_GBK"/>
          <w:color w:val="000000"/>
          <w:kern w:val="0"/>
          <w:sz w:val="32"/>
          <w:szCs w:val="32"/>
        </w:rPr>
      </w:pPr>
      <w:bookmarkStart w:id="8" w:name="_Toc497796275"/>
      <w:bookmarkStart w:id="9" w:name="_Toc497806706"/>
      <w:r>
        <w:rPr>
          <w:rFonts w:hint="eastAsia" w:ascii="方正仿宋_GBK" w:hAnsi="方正仿宋_GBK" w:eastAsia="方正仿宋_GBK" w:cs="方正仿宋_GBK"/>
          <w:color w:val="000000"/>
          <w:kern w:val="0"/>
          <w:sz w:val="32"/>
          <w:szCs w:val="32"/>
        </w:rPr>
        <w:t>收费管理系统应对接财政电子票据系统，业务流程应符合财政对电子票据的要求，</w:t>
      </w:r>
      <w:bookmarkEnd w:id="8"/>
      <w:bookmarkEnd w:id="9"/>
      <w:bookmarkStart w:id="10" w:name="_Toc29962"/>
      <w:r>
        <w:rPr>
          <w:rFonts w:hint="eastAsia" w:ascii="方正仿宋_GBK" w:hAnsi="方正仿宋_GBK" w:eastAsia="方正仿宋_GBK" w:cs="方正仿宋_GBK"/>
          <w:color w:val="000000"/>
          <w:kern w:val="0"/>
          <w:sz w:val="32"/>
          <w:szCs w:val="32"/>
        </w:rPr>
        <w:t>实现目前我校所用的重庆市财政票据电子电子化管理系统中票据申领、票据入库、票据分发、票据申退、申退确认、库存作废、期初库存、票据审验、票据销毁申请等所有功能。</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收费管理系统与税务电子发票系统的对接</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收费管理系统应对接税务电子票据系统，业务流程应符合税务对电子票据的要求，能实现销项管理、开票管理、综合查询统计、商品编码和客户信息管理、开票项目管理、收费项目管理等功能。</w:t>
      </w:r>
    </w:p>
    <w:bookmarkEnd w:id="10"/>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注：</w:t>
      </w:r>
      <w:r>
        <w:rPr>
          <w:rFonts w:hint="eastAsia" w:ascii="方正仿宋_GBK" w:hAnsi="方正仿宋_GBK" w:eastAsia="方正仿宋_GBK" w:cs="方正仿宋_GBK"/>
          <w:color w:val="000000"/>
          <w:kern w:val="0"/>
          <w:sz w:val="32"/>
          <w:szCs w:val="32"/>
          <w:lang w:eastAsia="zh-CN"/>
        </w:rPr>
        <w:t>投标人</w:t>
      </w:r>
      <w:r>
        <w:rPr>
          <w:rFonts w:hint="eastAsia" w:ascii="方正仿宋_GBK" w:hAnsi="方正仿宋_GBK" w:eastAsia="方正仿宋_GBK" w:cs="方正仿宋_GBK"/>
          <w:color w:val="000000"/>
          <w:kern w:val="0"/>
          <w:sz w:val="32"/>
          <w:szCs w:val="32"/>
        </w:rPr>
        <w:t>应根据</w:t>
      </w:r>
      <w:r>
        <w:rPr>
          <w:rFonts w:hint="eastAsia" w:ascii="方正仿宋_GBK" w:hAnsi="方正仿宋_GBK" w:eastAsia="方正仿宋_GBK" w:cs="方正仿宋_GBK"/>
          <w:color w:val="000000"/>
          <w:kern w:val="0"/>
          <w:sz w:val="32"/>
          <w:szCs w:val="32"/>
          <w:lang w:val="en-US" w:eastAsia="zh-CN"/>
        </w:rPr>
        <w:t>招标</w:t>
      </w:r>
      <w:r>
        <w:rPr>
          <w:rFonts w:hint="eastAsia" w:ascii="方正仿宋_GBK" w:hAnsi="方正仿宋_GBK" w:eastAsia="方正仿宋_GBK" w:cs="方正仿宋_GBK"/>
          <w:color w:val="000000"/>
          <w:kern w:val="0"/>
          <w:sz w:val="32"/>
          <w:szCs w:val="32"/>
        </w:rPr>
        <w:t>文件提出的要求，向</w:t>
      </w:r>
      <w:r>
        <w:rPr>
          <w:rFonts w:hint="eastAsia" w:ascii="方正仿宋_GBK" w:hAnsi="方正仿宋_GBK" w:eastAsia="方正仿宋_GBK" w:cs="方正仿宋_GBK"/>
          <w:color w:val="000000"/>
          <w:kern w:val="0"/>
          <w:sz w:val="32"/>
          <w:szCs w:val="32"/>
          <w:lang w:val="en-US" w:eastAsia="zh-CN"/>
        </w:rPr>
        <w:t>采购人</w:t>
      </w:r>
      <w:r>
        <w:rPr>
          <w:rFonts w:hint="eastAsia" w:ascii="方正仿宋_GBK" w:hAnsi="方正仿宋_GBK" w:eastAsia="方正仿宋_GBK" w:cs="方正仿宋_GBK"/>
          <w:color w:val="000000"/>
          <w:kern w:val="0"/>
          <w:sz w:val="32"/>
          <w:szCs w:val="32"/>
        </w:rPr>
        <w:t>现场演示技术部分内容。</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电子票据签名服务器</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投标人</w:t>
      </w:r>
      <w:r>
        <w:rPr>
          <w:rFonts w:hint="eastAsia" w:ascii="方正仿宋_GBK" w:hAnsi="方正仿宋_GBK" w:eastAsia="方正仿宋_GBK" w:cs="方正仿宋_GBK"/>
          <w:color w:val="000000"/>
          <w:kern w:val="0"/>
          <w:sz w:val="32"/>
          <w:szCs w:val="32"/>
        </w:rPr>
        <w:t>应遵循财政部发布的《财政信息系统安全应用接口标准》</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提供学校</w:t>
      </w:r>
      <w:r>
        <w:rPr>
          <w:rFonts w:hint="eastAsia" w:ascii="方正仿宋_GBK" w:hAnsi="方正仿宋_GBK" w:eastAsia="方正仿宋_GBK" w:cs="方正仿宋_GBK"/>
          <w:color w:val="000000"/>
          <w:kern w:val="0"/>
          <w:sz w:val="32"/>
          <w:szCs w:val="32"/>
        </w:rPr>
        <w:t>数字签名服务器。</w:t>
      </w:r>
    </w:p>
    <w:p>
      <w:pPr>
        <w:bidi w:val="0"/>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（1）需求说明</w:t>
      </w:r>
    </w:p>
    <w:p>
      <w:pPr>
        <w:bidi w:val="0"/>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电子票据业务流程包括“七大环节”，分别为制样、赋码、开票、传输、查验、入账、归档核销。其中电子票据开票环节中，单位生成票据信息需进行电子签名，然后将含有单位签名的票据信息通过电子票据系统自动上传到财政端，财政端验证电子票号唯一性、单位签名有效性无误后，追加财政监制签名，制作生成完整的财政电子票据并返回单位进行财政监制签名验证，电子签名和验签服务完成。单位电子签名及验签需签名验签服务器设备、相关CA证书及服务。</w:t>
      </w:r>
    </w:p>
    <w:p>
      <w:pPr>
        <w:bidi w:val="0"/>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（2）技术要求</w:t>
      </w:r>
    </w:p>
    <w:p>
      <w:pPr>
        <w:bidi w:val="0"/>
        <w:ind w:firstLine="640" w:firstLineChars="200"/>
        <w:rPr>
          <w:rFonts w:hint="eastAsia" w:ascii="方正仿宋_GBK" w:hAnsi="方正仿宋_GBK" w:eastAsia="方正仿宋_GBK" w:cs="方正仿宋_GBK"/>
          <w:b w:val="0"/>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rPr>
        <w:t xml:space="preserve"> 签名验签服务器产品技术要求如下：</w:t>
      </w:r>
    </w:p>
    <w:tbl>
      <w:tblPr>
        <w:tblStyle w:val="8"/>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82" w:type="dxa"/>
            <w:vAlign w:val="center"/>
          </w:tcPr>
          <w:p>
            <w:pPr>
              <w:spacing w:line="360" w:lineRule="auto"/>
              <w:jc w:val="center"/>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项目</w:t>
            </w:r>
          </w:p>
        </w:tc>
        <w:tc>
          <w:tcPr>
            <w:tcW w:w="7500" w:type="dxa"/>
            <w:vAlign w:val="center"/>
          </w:tcPr>
          <w:p>
            <w:pPr>
              <w:spacing w:line="360" w:lineRule="auto"/>
              <w:jc w:val="center"/>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482" w:type="dxa"/>
            <w:vAlign w:val="center"/>
          </w:tcPr>
          <w:p>
            <w:pPr>
              <w:spacing w:line="360" w:lineRule="auto"/>
              <w:jc w:val="center"/>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基本要求</w:t>
            </w:r>
          </w:p>
        </w:tc>
        <w:tc>
          <w:tcPr>
            <w:tcW w:w="7500" w:type="dxa"/>
            <w:vAlign w:val="center"/>
          </w:tcPr>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1.硬件设备，标配至少2个千兆电口，支持RSA算法、SM2算法证书。</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2.支持摘要算法：支持财政体系RSA算法、SM2算法证书。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82" w:type="dxa"/>
            <w:vAlign w:val="center"/>
          </w:tcPr>
          <w:p>
            <w:pPr>
              <w:spacing w:line="360" w:lineRule="auto"/>
              <w:jc w:val="center"/>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功能要求</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p>
        </w:tc>
        <w:tc>
          <w:tcPr>
            <w:tcW w:w="7500" w:type="dxa"/>
            <w:vAlign w:val="center"/>
          </w:tcPr>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1.系统用户分为配置管理员、业务管理员、审计管理员。</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2.配置管理包括站点证书配置、CA证书配置、CRL配置、应用信息设置、配置信息导入导出等功能。</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3.可以设置多张签名证书，针对不同的应用可以配置使用相同或不同的签名证书。</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4.可以配置使用多条证书链，即使用的应用系统同时支持多个CA签发的客户证书。</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5.CRL信息支持自动下载和手工导入两种方式。</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6.支持多个应用系统调用签名验签服务，使用相同或不同的服务器签名证书。</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7.日志记录支持本地数据库，远程SYSLOG。</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8.具备数据备份功能，可以通过恢复功能将配置信息和用户信息恢复到正常状态。</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9.支持PKCS#7和XML格式的签名和验证。</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10.支持浏览器、应用服务器、通用客户端的调用。</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11.支持对文件和数据进行签名、加密。</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12.提供获取签名、加密数据包中原始内容的功能。</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13.支持数字信封和带签名的数字信封功能。</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14.支持针对大数据量的数字签名方法。</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15.支持财政证书的在线申请、在线更新、在线下载等功能。</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16.确保项目按时上线，已经实现与财政票据电子化系统的安全改造，保障票据数据的私密性、完整性和不可否认性，无需调试对接即插即用。</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17.★为确保机构证书的安全性，投标产品支持财政证书的在线申请、在线更新、在线下载等功能（提供证明文件并加盖原厂商公章）。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82" w:type="dxa"/>
            <w:vAlign w:val="center"/>
          </w:tcPr>
          <w:p>
            <w:pPr>
              <w:spacing w:line="360" w:lineRule="auto"/>
              <w:jc w:val="center"/>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性能要求</w:t>
            </w:r>
          </w:p>
        </w:tc>
        <w:tc>
          <w:tcPr>
            <w:tcW w:w="7500" w:type="dxa"/>
            <w:vAlign w:val="center"/>
          </w:tcPr>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1.数字签名（RSA）&gt;900次/秒；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2.签名验证（RSA）&gt;1700次/秒；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3.制作信封（RSA）&gt;1400次/秒；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4.解密信封（RSA）&gt;700次/秒；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5.数字签名（SM2）&gt;600次/秒；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6.签名验证（SM2）&gt;600次/秒；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7.制作信封（SM2）&gt;400次/秒；</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8.解密信封（SM2）&gt;400次/秒。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82" w:type="dxa"/>
            <w:vAlign w:val="center"/>
          </w:tcPr>
          <w:p>
            <w:pPr>
              <w:spacing w:line="360" w:lineRule="auto"/>
              <w:jc w:val="center"/>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接口要求</w:t>
            </w:r>
          </w:p>
        </w:tc>
        <w:tc>
          <w:tcPr>
            <w:tcW w:w="7500" w:type="dxa"/>
            <w:vAlign w:val="center"/>
          </w:tcPr>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提供完整的接口说明文档和技术白皮书。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Align w:val="center"/>
          </w:tcPr>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其他要求</w:t>
            </w:r>
          </w:p>
        </w:tc>
        <w:tc>
          <w:tcPr>
            <w:tcW w:w="7500" w:type="dxa"/>
            <w:vAlign w:val="center"/>
          </w:tcPr>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1.投标产品具有国家密码管理局颁发的《商用密码产品型号证书》（提供资质证明文件复印件并加盖原厂商公章）。</w:t>
            </w:r>
          </w:p>
          <w:p>
            <w:pPr>
              <w:spacing w:line="360" w:lineRule="auto"/>
              <w:jc w:val="left"/>
              <w:rPr>
                <w:rFonts w:hint="eastAsia" w:ascii="方正仿宋_GBK" w:hAnsi="方正仿宋_GBK" w:eastAsia="方正仿宋_GBK" w:cs="方正仿宋_GBK"/>
                <w:b w:val="0"/>
                <w:color w:val="000000"/>
                <w:kern w:val="0"/>
                <w:sz w:val="28"/>
                <w:szCs w:val="28"/>
                <w:lang w:val="en-US" w:eastAsia="zh-CN" w:bidi="ar-SA"/>
              </w:rPr>
            </w:pPr>
            <w:r>
              <w:rPr>
                <w:rFonts w:hint="eastAsia" w:ascii="方正仿宋_GBK" w:hAnsi="方正仿宋_GBK" w:eastAsia="方正仿宋_GBK" w:cs="方正仿宋_GBK"/>
                <w:b w:val="0"/>
                <w:color w:val="000000"/>
                <w:kern w:val="0"/>
                <w:sz w:val="28"/>
                <w:szCs w:val="28"/>
                <w:lang w:val="en-US" w:eastAsia="zh-CN" w:bidi="ar-SA"/>
              </w:rPr>
              <w:t>2.产品具有计算机信息系统安全专用产品销售许可证书（提供资质证明文件复印件并加盖原厂商公章）。</w:t>
            </w:r>
          </w:p>
        </w:tc>
      </w:tr>
    </w:tbl>
    <w:p>
      <w:pPr>
        <w:adjustRightInd w:val="0"/>
        <w:ind w:firstLine="640" w:firstLineChars="200"/>
        <w:textAlignment w:val="baseline"/>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lang w:val="en-US" w:eastAsia="zh-CN"/>
        </w:rPr>
        <w:t>四</w:t>
      </w:r>
      <w:r>
        <w:rPr>
          <w:rFonts w:hint="eastAsia" w:ascii="方正楷体_GBK" w:hAnsi="方正楷体_GBK" w:eastAsia="方正楷体_GBK" w:cs="方正楷体_GBK"/>
          <w:color w:val="000000"/>
          <w:kern w:val="0"/>
          <w:sz w:val="32"/>
          <w:szCs w:val="32"/>
          <w:lang w:eastAsia="zh-CN"/>
        </w:rPr>
        <w:t>）项目</w:t>
      </w:r>
      <w:r>
        <w:rPr>
          <w:rFonts w:hint="eastAsia" w:ascii="方正楷体_GBK" w:hAnsi="方正楷体_GBK" w:eastAsia="方正楷体_GBK" w:cs="方正楷体_GBK"/>
          <w:color w:val="000000"/>
          <w:kern w:val="0"/>
          <w:sz w:val="32"/>
          <w:szCs w:val="32"/>
          <w:lang w:val="en-US" w:eastAsia="zh-CN"/>
        </w:rPr>
        <w:t>售后服务</w:t>
      </w:r>
      <w:r>
        <w:rPr>
          <w:rFonts w:hint="eastAsia" w:ascii="方正楷体_GBK" w:hAnsi="方正楷体_GBK" w:eastAsia="方正楷体_GBK" w:cs="方正楷体_GBK"/>
          <w:color w:val="000000"/>
          <w:kern w:val="0"/>
          <w:sz w:val="32"/>
          <w:szCs w:val="32"/>
          <w:lang w:eastAsia="zh-CN"/>
        </w:rPr>
        <w:t>需求</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免费维保期：自系统正式上线运行之日起提供一年免费运维服务。</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售后服务响应时间：</w:t>
      </w:r>
      <w:r>
        <w:rPr>
          <w:rFonts w:hint="eastAsia" w:ascii="方正仿宋_GBK" w:hAnsi="方正仿宋_GBK" w:eastAsia="方正仿宋_GBK" w:cs="方正仿宋_GBK"/>
          <w:color w:val="000000"/>
          <w:kern w:val="0"/>
          <w:sz w:val="32"/>
          <w:szCs w:val="32"/>
          <w:lang w:val="en-US" w:eastAsia="zh-CN"/>
        </w:rPr>
        <w:t>中标人</w:t>
      </w:r>
      <w:r>
        <w:rPr>
          <w:rFonts w:hint="eastAsia" w:ascii="方正仿宋_GBK" w:hAnsi="方正仿宋_GBK" w:eastAsia="方正仿宋_GBK" w:cs="方正仿宋_GBK"/>
          <w:color w:val="000000"/>
          <w:kern w:val="0"/>
          <w:sz w:val="32"/>
          <w:szCs w:val="32"/>
        </w:rPr>
        <w:t>提供7×24小时电话支持服务；提供5*8小时技术支持响应服务；当出现故障时，保证2小时内响应，根据</w:t>
      </w:r>
      <w:r>
        <w:rPr>
          <w:rFonts w:hint="eastAsia" w:ascii="方正仿宋_GBK" w:hAnsi="方正仿宋_GBK" w:eastAsia="方正仿宋_GBK" w:cs="方正仿宋_GBK"/>
          <w:color w:val="000000"/>
          <w:kern w:val="0"/>
          <w:sz w:val="32"/>
          <w:szCs w:val="32"/>
          <w:lang w:eastAsia="zh-CN"/>
        </w:rPr>
        <w:t>采购人</w:t>
      </w:r>
      <w:r>
        <w:rPr>
          <w:rFonts w:hint="eastAsia" w:ascii="方正仿宋_GBK" w:hAnsi="方正仿宋_GBK" w:eastAsia="方正仿宋_GBK" w:cs="方正仿宋_GBK"/>
          <w:color w:val="000000"/>
          <w:kern w:val="0"/>
          <w:sz w:val="32"/>
          <w:szCs w:val="32"/>
        </w:rPr>
        <w:t>要求及时进行现场处理，直到完成故障修复。</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售后服务内容：</w:t>
      </w:r>
      <w:r>
        <w:rPr>
          <w:rFonts w:hint="eastAsia" w:ascii="方正仿宋_GBK" w:hAnsi="方正仿宋_GBK" w:eastAsia="方正仿宋_GBK" w:cs="方正仿宋_GBK"/>
          <w:color w:val="000000"/>
          <w:kern w:val="0"/>
          <w:sz w:val="32"/>
          <w:szCs w:val="32"/>
          <w:lang w:val="en-US" w:eastAsia="zh-CN"/>
        </w:rPr>
        <w:t>中标人</w:t>
      </w:r>
      <w:r>
        <w:rPr>
          <w:rFonts w:hint="eastAsia" w:ascii="方正仿宋_GBK" w:hAnsi="方正仿宋_GBK" w:eastAsia="方正仿宋_GBK" w:cs="方正仿宋_GBK"/>
          <w:color w:val="000000"/>
          <w:kern w:val="0"/>
          <w:sz w:val="32"/>
          <w:szCs w:val="32"/>
        </w:rPr>
        <w:t>应提供售后服务内容，主要包括软件升级服务、上门服务、互连远程维护、合约定期维护等。其中软件升级服务主要包括改正性维护、适应性开发服务、升级服务流程等；上门服务主要包括软件的调试、系统日常维护服务、技术培训服务、优化服务、咨询服务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售后服务方式：</w:t>
      </w:r>
      <w:r>
        <w:rPr>
          <w:rFonts w:hint="eastAsia" w:ascii="方正仿宋_GBK" w:hAnsi="方正仿宋_GBK" w:eastAsia="方正仿宋_GBK" w:cs="方正仿宋_GBK"/>
          <w:color w:val="000000"/>
          <w:kern w:val="0"/>
          <w:sz w:val="32"/>
          <w:szCs w:val="32"/>
          <w:lang w:val="en-US" w:eastAsia="zh-CN"/>
        </w:rPr>
        <w:t>中标人</w:t>
      </w:r>
      <w:r>
        <w:rPr>
          <w:rFonts w:hint="eastAsia" w:ascii="方正仿宋_GBK" w:hAnsi="方正仿宋_GBK" w:eastAsia="方正仿宋_GBK" w:cs="方正仿宋_GBK"/>
          <w:color w:val="000000"/>
          <w:kern w:val="0"/>
          <w:sz w:val="32"/>
          <w:szCs w:val="32"/>
        </w:rPr>
        <w:t>应提供现场技术支持服务，电话支持服务，电子邮件、传真支持服务，网络支持服务，网络即时通讯平台服务，上门回访服务等。</w:t>
      </w:r>
    </w:p>
    <w:p>
      <w:pPr>
        <w:bidi w:val="0"/>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售后服务资源保障：</w:t>
      </w:r>
      <w:r>
        <w:rPr>
          <w:rFonts w:hint="eastAsia" w:ascii="方正仿宋_GBK" w:hAnsi="方正仿宋_GBK" w:eastAsia="方正仿宋_GBK" w:cs="方正仿宋_GBK"/>
          <w:color w:val="000000"/>
          <w:kern w:val="0"/>
          <w:sz w:val="32"/>
          <w:szCs w:val="32"/>
          <w:lang w:val="en-US" w:eastAsia="zh-CN"/>
        </w:rPr>
        <w:t>中标人</w:t>
      </w:r>
      <w:r>
        <w:rPr>
          <w:rFonts w:hint="eastAsia" w:ascii="方正仿宋_GBK" w:hAnsi="方正仿宋_GBK" w:eastAsia="方正仿宋_GBK" w:cs="方正仿宋_GBK"/>
          <w:color w:val="000000"/>
          <w:kern w:val="0"/>
          <w:sz w:val="32"/>
          <w:szCs w:val="32"/>
        </w:rPr>
        <w:t>应提供运行维护措施、故障应急处理等。其中故障应急处理至少需包括应急保障方案、应急处理方案、应急处理工作流程、应用系统应急恢复策略、事后处理工作、应急方案管理等。</w:t>
      </w:r>
    </w:p>
    <w:p>
      <w:pPr>
        <w:pStyle w:val="2"/>
        <w:ind w:left="0" w:leftChars="0" w:firstLine="640" w:firstLineChars="200"/>
        <w:rPr>
          <w:rFonts w:hint="default" w:eastAsia="方正仿宋_GBK"/>
          <w:lang w:val="en-US" w:eastAsia="zh-CN"/>
        </w:rPr>
      </w:pPr>
      <w:r>
        <w:rPr>
          <w:rFonts w:hint="eastAsia" w:ascii="方正仿宋_GBK" w:hAnsi="方正仿宋_GBK" w:eastAsia="方正仿宋_GBK" w:cs="方正仿宋_GBK"/>
          <w:color w:val="000000"/>
          <w:kern w:val="0"/>
          <w:sz w:val="32"/>
          <w:szCs w:val="32"/>
          <w:lang w:val="en-US" w:eastAsia="zh-CN"/>
        </w:rPr>
        <w:t>6、年售后服务费≤5000元。</w:t>
      </w:r>
      <w:bookmarkStart w:id="11" w:name="_GoBack"/>
      <w:bookmarkEnd w:id="11"/>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pPr>
                          <w:r>
                            <w:fldChar w:fldCharType="begin"/>
                          </w:r>
                          <w:r>
                            <w:instrText xml:space="preserve"> PAGE  \* MERGEFORMAT </w:instrText>
                          </w:r>
                          <w:r>
                            <w:fldChar w:fldCharType="separate"/>
                          </w:r>
                          <w:r>
                            <w:t>- 31 -</w:t>
                          </w:r>
                          <w:r>
                            <w:fldChar w:fldCharType="end"/>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xSODQAAAAAwEAAA8AAAAAAAAAAQAgAAAAIgAAAGRycy9k&#10;b3ducmV2LnhtbFBLAQIUABQAAAAIAIdO4kBfEplrCgIAAAMEAAAOAAAAAAAAAAEAIAAAAB8BAABk&#10;cnMvZTJvRG9jLnhtbFBLBQYAAAAABgAGAFkBAACb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B58BE"/>
    <w:rsid w:val="17B27998"/>
    <w:rsid w:val="18AB58BE"/>
    <w:rsid w:val="1C7A7DE4"/>
    <w:rsid w:val="25345011"/>
    <w:rsid w:val="2C923D02"/>
    <w:rsid w:val="36680F7A"/>
    <w:rsid w:val="381860E6"/>
    <w:rsid w:val="38334737"/>
    <w:rsid w:val="415F6D1F"/>
    <w:rsid w:val="57394F10"/>
    <w:rsid w:val="611F0D41"/>
    <w:rsid w:val="67D07D9B"/>
    <w:rsid w:val="6F81194C"/>
    <w:rsid w:val="74B56BEA"/>
    <w:rsid w:val="7519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character" w:styleId="10">
    <w:name w:val="FollowedHyperlink"/>
    <w:basedOn w:val="9"/>
    <w:uiPriority w:val="0"/>
    <w:rPr>
      <w:color w:val="000000"/>
      <w:u w:val="none"/>
    </w:rPr>
  </w:style>
  <w:style w:type="character" w:styleId="11">
    <w:name w:val="Emphasis"/>
    <w:basedOn w:val="9"/>
    <w:qFormat/>
    <w:uiPriority w:val="0"/>
    <w:rPr>
      <w:i/>
    </w:rPr>
  </w:style>
  <w:style w:type="character" w:styleId="12">
    <w:name w:val="Hyperlink"/>
    <w:basedOn w:val="9"/>
    <w:uiPriority w:val="0"/>
    <w:rPr>
      <w:color w:val="000000"/>
      <w:u w:val="none"/>
    </w:rPr>
  </w:style>
  <w:style w:type="paragraph" w:styleId="13">
    <w:name w:val="List Paragraph"/>
    <w:basedOn w:val="1"/>
    <w:unhideWhenUsed/>
    <w:qFormat/>
    <w:uiPriority w:val="99"/>
    <w:pPr>
      <w:ind w:firstLine="420" w:firstLineChars="200"/>
    </w:pPr>
  </w:style>
  <w:style w:type="character" w:customStyle="1" w:styleId="14">
    <w:name w:val="fa"/>
    <w:basedOn w:val="9"/>
    <w:uiPriority w:val="0"/>
    <w:rPr>
      <w:color w:val="333333"/>
      <w:sz w:val="15"/>
      <w:szCs w:val="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2021-08-13T05:50:00Z</dcterms:created>
  <dc:creator>吉</dc:creator>
  <cp:lastModifiedBy>吉</cp:lastModifiedBy>
  <dcterms:modified xsi:type="dcterms:W3CDTF">2021-08-24T02:35:10Z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C8BA7E654BA144E08D3F1DDDA1CBD140</vt:lpwstr>
  </property>
</Properties>
</file>